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B643" w14:textId="77777777" w:rsidR="00BA240C" w:rsidRPr="005A6334" w:rsidRDefault="00AA391D">
      <w:pPr>
        <w:tabs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5A6334"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  <w:t>SERVICE PUBLIC DE WALLONIE</w:t>
      </w:r>
    </w:p>
    <w:p w14:paraId="39EF27A5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6D0AFCC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Communiqué à la presse agricole</w:t>
      </w:r>
    </w:p>
    <w:p w14:paraId="2EF4EA32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(Prière de reprendre intégralement les</w:t>
      </w:r>
    </w:p>
    <w:p w14:paraId="04C945C7" w14:textId="77777777" w:rsidR="00BA240C" w:rsidRPr="005A6334" w:rsidRDefault="00AA391D">
      <w:pPr>
        <w:tabs>
          <w:tab w:val="right" w:pos="9026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ab/>
        <w:t>tableaux sans commentaire personnel)</w:t>
      </w:r>
    </w:p>
    <w:p w14:paraId="38868CF4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CDA462F" w14:textId="77777777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CC32EDF" w14:textId="7D63CCF6" w:rsidR="00BA240C" w:rsidRPr="005A6334" w:rsidRDefault="00AA391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caps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Nou</w:t>
      </w:r>
      <w:r w:rsidR="002B7F55"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>velles variétés de MAÏS GRAIN</w:t>
      </w:r>
      <w:r w:rsidRPr="005A6334">
        <w:rPr>
          <w:rFonts w:asciiTheme="minorHAnsi" w:hAnsiTheme="minorHAnsi" w:cstheme="minorHAnsi"/>
          <w:b/>
          <w:caps/>
          <w:sz w:val="22"/>
          <w:szCs w:val="22"/>
          <w:lang w:val="fr-FR"/>
        </w:rPr>
        <w:t xml:space="preserve"> au Catalogue national belge des variétés</w:t>
      </w:r>
    </w:p>
    <w:p w14:paraId="66EA0AE2" w14:textId="77777777" w:rsidR="00BA240C" w:rsidRPr="005A6334" w:rsidRDefault="00BA240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BB07344" w14:textId="4157F44F" w:rsidR="00BA240C" w:rsidRPr="005A6334" w:rsidRDefault="00A07592">
      <w:pPr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Quatre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 xml:space="preserve"> nouvelle</w:t>
      </w:r>
      <w:r w:rsidR="00FE784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 xml:space="preserve"> variété</w:t>
      </w:r>
      <w:r w:rsidR="00FE784F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de maïs </w:t>
      </w:r>
      <w:r w:rsidR="002B7F55" w:rsidRPr="005A6334">
        <w:rPr>
          <w:rFonts w:asciiTheme="minorHAnsi" w:hAnsiTheme="minorHAnsi" w:cstheme="minorHAnsi"/>
          <w:sz w:val="22"/>
          <w:szCs w:val="22"/>
          <w:lang w:val="fr-FR"/>
        </w:rPr>
        <w:t>grain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E784F">
        <w:rPr>
          <w:rFonts w:asciiTheme="minorHAnsi" w:hAnsiTheme="minorHAnsi" w:cstheme="minorHAnsi"/>
          <w:sz w:val="22"/>
          <w:szCs w:val="22"/>
          <w:lang w:val="fr-FR"/>
        </w:rPr>
        <w:t>sont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>admise</w:t>
      </w:r>
      <w:r w:rsidR="003751EF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>au Catalogue National B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>elge des variétés. Nous présentons ici une synthèse des résultats obtenus dans le cadre des essais officiels effectués par les sections pour l'étude des obtentions végétales (</w:t>
      </w:r>
      <w:proofErr w:type="spellStart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Instituut</w:t>
      </w:r>
      <w:proofErr w:type="spellEnd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voor</w:t>
      </w:r>
      <w:proofErr w:type="spellEnd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Landbouw</w:t>
      </w:r>
      <w:proofErr w:type="spellEnd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-, </w:t>
      </w:r>
      <w:proofErr w:type="spellStart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Visserij</w:t>
      </w:r>
      <w:proofErr w:type="spellEnd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- en </w:t>
      </w:r>
      <w:proofErr w:type="spellStart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>Voedingsonderzoek</w:t>
      </w:r>
      <w:proofErr w:type="spellEnd"/>
      <w:r w:rsidR="007B17A4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– ILVO Plant</w:t>
      </w:r>
      <w:r w:rsidR="00AA391D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– Merelbeke et le Département Productions et filières - CRA-W Gembloux) à la demande du Groupe Technique Interrégional pour l'élaboration du Catalogue National des variétés des espèces de plantes agricoles.</w:t>
      </w:r>
    </w:p>
    <w:p w14:paraId="5DFC148D" w14:textId="1003437C" w:rsidR="00BA240C" w:rsidRPr="005A6334" w:rsidRDefault="00BA240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FR"/>
        </w:rPr>
      </w:pPr>
    </w:p>
    <w:p w14:paraId="5B87EB6F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>Variétés reprises après 3 années d'essais</w:t>
      </w:r>
    </w:p>
    <w:p w14:paraId="085FF731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49ABB8F" w14:textId="77BAF7E9" w:rsidR="00F528EF" w:rsidRPr="005A6334" w:rsidRDefault="00FE784F" w:rsidP="00F528EF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Les essais réalisés en 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>201</w:t>
      </w:r>
      <w:r>
        <w:rPr>
          <w:rFonts w:asciiTheme="minorHAnsi" w:hAnsiTheme="minorHAnsi" w:cstheme="minorHAnsi"/>
          <w:sz w:val="22"/>
          <w:szCs w:val="22"/>
          <w:lang w:val="fr-FR"/>
        </w:rPr>
        <w:t>9,</w:t>
      </w:r>
      <w:r w:rsidR="00450366">
        <w:rPr>
          <w:rFonts w:asciiTheme="minorHAnsi" w:hAnsiTheme="minorHAnsi" w:cstheme="minorHAnsi"/>
          <w:sz w:val="22"/>
          <w:szCs w:val="22"/>
          <w:lang w:val="fr-FR"/>
        </w:rPr>
        <w:t xml:space="preserve"> 2020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et 2021 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>en vue de l'in</w:t>
      </w:r>
      <w:r w:rsidR="002B7F55" w:rsidRPr="005A6334">
        <w:rPr>
          <w:rFonts w:asciiTheme="minorHAnsi" w:hAnsiTheme="minorHAnsi" w:cstheme="minorHAnsi"/>
          <w:sz w:val="22"/>
          <w:szCs w:val="22"/>
          <w:lang w:val="fr-FR"/>
        </w:rPr>
        <w:t>scription des variétés de maïs grain</w:t>
      </w:r>
      <w:r w:rsidR="00F528EF"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au Catalogue national des variétés, ont permis l'admission de la variété suivante:</w:t>
      </w:r>
      <w:r w:rsidR="00B37CC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KWS MEMENTO</w:t>
      </w:r>
      <w:r w:rsidR="007B17A4" w:rsidRPr="005A6334">
        <w:rPr>
          <w:rFonts w:asciiTheme="minorHAnsi" w:hAnsiTheme="minorHAnsi" w:cstheme="minorHAnsi"/>
          <w:b/>
          <w:sz w:val="22"/>
          <w:szCs w:val="22"/>
          <w:lang w:val="fr-FR"/>
        </w:rPr>
        <w:t>.</w:t>
      </w:r>
    </w:p>
    <w:p w14:paraId="1F1A55F6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54A1CAC" w14:textId="77777777" w:rsidR="002B7F55" w:rsidRPr="005A6334" w:rsidRDefault="002B7F55" w:rsidP="002B7F55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ont été effectués dans 6 centres situés dans les régions agricoles suivantes : région limoneuse (2 essais), Polders (1 essai), région sablo-limoneuse (2 essais) et région Campine (1 essai).</w:t>
      </w:r>
    </w:p>
    <w:p w14:paraId="20FEC5F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8FE71E5" w14:textId="4BA4233C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Les données concernant la croissance juvénile, la verse, ... sont reprises au </w:t>
      </w:r>
      <w:r w:rsidRPr="00A07592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tableau 1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0464491E" w14:textId="77777777" w:rsidR="00F528EF" w:rsidRPr="005A6334" w:rsidRDefault="00F528EF" w:rsidP="00F528E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655BF1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7290C23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367801FD" w14:textId="72D52F63" w:rsidR="00F528EF" w:rsidRPr="005A6334" w:rsidRDefault="002B7F55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Les résultats de rendement et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de précocité 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sont repris au tableau 2</w:t>
      </w:r>
      <w:r w:rsidR="00F528EF"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34F115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1FCD4B15" w14:textId="5B7317F4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En conclusion, vous trou</w:t>
      </w:r>
      <w:r w:rsidR="00450366">
        <w:rPr>
          <w:rFonts w:asciiTheme="minorHAnsi" w:hAnsiTheme="minorHAnsi" w:cstheme="minorHAnsi"/>
          <w:sz w:val="22"/>
          <w:szCs w:val="22"/>
          <w:lang w:val="fr-BE" w:eastAsia="nl-BE"/>
        </w:rPr>
        <w:t>verez une courte description de la nouvelle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variété </w:t>
      </w:r>
      <w:r w:rsidR="00450366">
        <w:rPr>
          <w:rFonts w:asciiTheme="minorHAnsi" w:hAnsiTheme="minorHAnsi" w:cstheme="minorHAnsi"/>
          <w:sz w:val="22"/>
          <w:szCs w:val="22"/>
          <w:lang w:val="fr-BE" w:eastAsia="nl-BE"/>
        </w:rPr>
        <w:t>admise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21C624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49694088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65DD6B5C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7A6C8CF9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31692385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58ECCBC6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0F52540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46F70DB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2495E3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3B164CF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77555CD" w14:textId="77777777" w:rsidR="00F528EF" w:rsidRPr="005A6334" w:rsidRDefault="00F528EF" w:rsidP="00F528EF">
      <w:pPr>
        <w:widowControl/>
        <w:jc w:val="both"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6B699C5F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4DA0CEF0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2D2FB2B8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19E7F50B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  <w:sectPr w:rsidR="00F528EF" w:rsidRPr="005A6334" w:rsidSect="00F528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537"/>
        <w:gridCol w:w="1538"/>
        <w:gridCol w:w="1537"/>
        <w:gridCol w:w="1538"/>
        <w:gridCol w:w="1537"/>
        <w:gridCol w:w="1538"/>
        <w:gridCol w:w="1538"/>
      </w:tblGrid>
      <w:tr w:rsidR="00A07592" w:rsidRPr="008F4ED2" w14:paraId="7EFACF15" w14:textId="77777777" w:rsidTr="00A07592">
        <w:trPr>
          <w:trHeight w:val="924"/>
        </w:trPr>
        <w:tc>
          <w:tcPr>
            <w:tcW w:w="13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25AA" w14:textId="77777777" w:rsidR="00A07592" w:rsidRPr="00A07592" w:rsidRDefault="00A07592" w:rsidP="00A0759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A07592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1 : Caractères généraux de la nouvelle variété de maïs grain admise au catalogue en 2022 en comparaison avec les 4 meilleures variétés témoins sur la base des essais de 2019, 2020 et 2021</w:t>
            </w:r>
          </w:p>
        </w:tc>
      </w:tr>
      <w:tr w:rsidR="00A07592" w:rsidRPr="00A07592" w14:paraId="370617F1" w14:textId="77777777" w:rsidTr="00A07592">
        <w:trPr>
          <w:trHeight w:val="122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6E76125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Caractères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586C6D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(1-9)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E8736C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(# jours) (2)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44DD9E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(cm)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9ADF3D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(cm)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1709FC1" w14:textId="4C667240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Verse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8AD7360" w14:textId="2EC3B233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1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12FEF8F" w14:textId="0A581ADB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2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</w:tr>
      <w:tr w:rsidR="00A07592" w:rsidRPr="00A07592" w14:paraId="0CA3BF67" w14:textId="77777777" w:rsidTr="00A07592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FD14DF7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(1)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BA8FFA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D63A9E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37A5B7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813957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259904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101E24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052340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A07592" w:rsidRPr="00A07592" w14:paraId="669570B6" w14:textId="77777777" w:rsidTr="00A07592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0F27C62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# 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19A644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B06369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86802DC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594295E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A7C980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8E21738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4A199C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</w:tr>
      <w:tr w:rsidR="00A07592" w:rsidRPr="00A07592" w14:paraId="0DD5842B" w14:textId="77777777" w:rsidTr="00A07592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4E8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MEMENTO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32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20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0C5" w14:textId="16E7E235" w:rsidR="00A07592" w:rsidRPr="00A07592" w:rsidRDefault="008F4ED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F12" w14:textId="7C47E8FB" w:rsidR="00A07592" w:rsidRPr="00A07592" w:rsidRDefault="008F4ED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6A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629F15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C6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3,0</w:t>
            </w:r>
          </w:p>
        </w:tc>
      </w:tr>
      <w:tr w:rsidR="00A07592" w:rsidRPr="00A07592" w14:paraId="0243DF41" w14:textId="77777777" w:rsidTr="00A07592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33C0EAE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TEMOIN (3)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20C17B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64F737B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B20B4E7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30C8EAD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26E53928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2CE7638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059A0F2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2,4</w:t>
            </w:r>
          </w:p>
        </w:tc>
      </w:tr>
      <w:tr w:rsidR="00A07592" w:rsidRPr="00A07592" w14:paraId="40AF5728" w14:textId="77777777" w:rsidTr="00A07592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7CE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VITELLIO (T)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D3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EED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59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5A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C1B7F3F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8,3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5ED7657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DB85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3,4</w:t>
            </w:r>
          </w:p>
        </w:tc>
      </w:tr>
      <w:tr w:rsidR="00A07592" w:rsidRPr="00A07592" w14:paraId="6433A335" w14:textId="77777777" w:rsidTr="00A07592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6B35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347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2F6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E5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50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B8B0B28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4,1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037ABB0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495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0,7</w:t>
            </w:r>
          </w:p>
        </w:tc>
      </w:tr>
      <w:tr w:rsidR="00A07592" w:rsidRPr="00A07592" w14:paraId="5B923B63" w14:textId="77777777" w:rsidTr="00A07592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023F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RODRIGUEZ KWS (T)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42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BD7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68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AF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2A254CC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6FD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25F42CB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12,6</w:t>
            </w:r>
          </w:p>
        </w:tc>
      </w:tr>
      <w:tr w:rsidR="00A07592" w:rsidRPr="00A07592" w14:paraId="37982E98" w14:textId="77777777" w:rsidTr="00A07592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669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0DC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E2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57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81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529153F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2,7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420DB04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415" w14:textId="77777777" w:rsidR="00A07592" w:rsidRPr="00A07592" w:rsidRDefault="00A07592" w:rsidP="00A07592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Calibri" w:hAnsi="Calibri" w:cs="Calibri"/>
                <w:sz w:val="22"/>
                <w:szCs w:val="22"/>
                <w:lang w:val="nl-BE" w:eastAsia="nl-BE"/>
              </w:rPr>
              <w:t>3,0</w:t>
            </w:r>
          </w:p>
        </w:tc>
      </w:tr>
      <w:tr w:rsidR="00A07592" w:rsidRPr="00A07592" w14:paraId="10B52A84" w14:textId="77777777" w:rsidTr="00A07592">
        <w:trPr>
          <w:trHeight w:val="288"/>
        </w:trPr>
        <w:tc>
          <w:tcPr>
            <w:tcW w:w="131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4573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(1) T = variété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</w:t>
            </w:r>
            <w:proofErr w:type="spellEnd"/>
          </w:p>
        </w:tc>
      </w:tr>
      <w:tr w:rsidR="00A07592" w:rsidRPr="00A07592" w14:paraId="7DC2073D" w14:textId="77777777" w:rsidTr="00A07592">
        <w:trPr>
          <w:trHeight w:val="288"/>
        </w:trPr>
        <w:tc>
          <w:tcPr>
            <w:tcW w:w="13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C659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(2)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jours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plus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tardifs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que KALIENTES</w:t>
            </w:r>
          </w:p>
        </w:tc>
      </w:tr>
      <w:tr w:rsidR="00A07592" w:rsidRPr="00A07592" w14:paraId="722E26E0" w14:textId="77777777" w:rsidTr="00A07592">
        <w:trPr>
          <w:trHeight w:val="288"/>
        </w:trPr>
        <w:tc>
          <w:tcPr>
            <w:tcW w:w="13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73C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 (3) le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témoin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est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la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moyenne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des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>variétés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eastAsia="nl-BE"/>
              </w:rPr>
              <w:t xml:space="preserve"> KWS VITELLIO, MILLESIM, RODRIGUEZ KWS et SUCCESSOR KWS</w:t>
            </w:r>
          </w:p>
        </w:tc>
      </w:tr>
    </w:tbl>
    <w:p w14:paraId="166D2D23" w14:textId="77777777" w:rsidR="00F528EF" w:rsidRPr="00450366" w:rsidRDefault="00F528EF" w:rsidP="00F528EF">
      <w:pPr>
        <w:rPr>
          <w:rFonts w:asciiTheme="minorHAnsi" w:hAnsiTheme="minorHAnsi" w:cstheme="minorHAnsi"/>
          <w:sz w:val="22"/>
          <w:szCs w:val="22"/>
        </w:rPr>
      </w:pPr>
    </w:p>
    <w:p w14:paraId="65E90C47" w14:textId="77777777" w:rsidR="00F528EF" w:rsidRPr="005A6334" w:rsidRDefault="00F528EF" w:rsidP="00F528EF">
      <w:pPr>
        <w:widowControl/>
        <w:rPr>
          <w:rFonts w:asciiTheme="minorHAnsi" w:hAnsiTheme="minorHAnsi" w:cstheme="minorHAnsi"/>
          <w:color w:val="000000"/>
          <w:sz w:val="22"/>
          <w:szCs w:val="22"/>
          <w:lang w:val="fr-BE" w:eastAsia="nl-BE"/>
        </w:rPr>
      </w:pPr>
    </w:p>
    <w:p w14:paraId="722C2349" w14:textId="2C035CA1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eastAsia="nl-BE"/>
        </w:rPr>
      </w:pPr>
    </w:p>
    <w:p w14:paraId="180552D9" w14:textId="77777777" w:rsidR="00AD7A6E" w:rsidRPr="005A6334" w:rsidRDefault="00AD7A6E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22528B67" w14:textId="77777777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53BAA6D7" w14:textId="44BD9DAA" w:rsidR="00F528EF" w:rsidRPr="005A6334" w:rsidRDefault="00F528EF" w:rsidP="00F528EF">
      <w:pPr>
        <w:rPr>
          <w:rFonts w:asciiTheme="minorHAnsi" w:hAnsiTheme="minorHAnsi" w:cstheme="minorHAnsi"/>
          <w:b/>
          <w:color w:val="000000"/>
          <w:sz w:val="22"/>
          <w:szCs w:val="22"/>
          <w:lang w:val="fr-BE" w:eastAsia="nl-BE"/>
        </w:rPr>
      </w:pPr>
    </w:p>
    <w:p w14:paraId="5E3D5A85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2C691D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6D57956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69CB3E2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4D3A2E0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761C55B2" w14:textId="246C0EAD" w:rsidR="00F528EF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607BC59B" w14:textId="202011AC" w:rsidR="00A07592" w:rsidRDefault="00A07592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14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1260"/>
        <w:gridCol w:w="1261"/>
        <w:gridCol w:w="1260"/>
        <w:gridCol w:w="1261"/>
        <w:gridCol w:w="1618"/>
        <w:gridCol w:w="1619"/>
        <w:gridCol w:w="1618"/>
        <w:gridCol w:w="1619"/>
      </w:tblGrid>
      <w:tr w:rsidR="00A07592" w:rsidRPr="008F4ED2" w14:paraId="46108764" w14:textId="77777777" w:rsidTr="00A07592">
        <w:trPr>
          <w:trHeight w:val="912"/>
        </w:trPr>
        <w:tc>
          <w:tcPr>
            <w:tcW w:w="1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4A41" w14:textId="77777777" w:rsidR="00A07592" w:rsidRPr="00A07592" w:rsidRDefault="00A07592" w:rsidP="00A07592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A07592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2 : Résultats des rendements et de précocité de la nouvelle variété de maïs grain admise au catalogue en 2022 en comparaison avec les 4 meilleures variétés témoins, sur la base des essais de 2019, 2020 et 2021.</w:t>
            </w:r>
          </w:p>
        </w:tc>
      </w:tr>
      <w:tr w:rsidR="00A07592" w:rsidRPr="00A07592" w14:paraId="114E043D" w14:textId="77777777" w:rsidTr="00A07592">
        <w:trPr>
          <w:trHeight w:val="636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326D0D6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D9D9D9" w:fill="C4BD97"/>
            <w:vAlign w:val="bottom"/>
            <w:hideMark/>
          </w:tcPr>
          <w:p w14:paraId="03265C7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Rendement en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grains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(15%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d'humidité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) en %  par rapport à la moyenne des variétés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C4BD97"/>
            <w:noWrap/>
            <w:vAlign w:val="center"/>
            <w:hideMark/>
          </w:tcPr>
          <w:p w14:paraId="71B6EA78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Précocité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(%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d'humidité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grains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A07592" w:rsidRPr="00A07592" w14:paraId="66BD6832" w14:textId="77777777" w:rsidTr="00A07592">
        <w:trPr>
          <w:trHeight w:val="288"/>
        </w:trPr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553BA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C69EFE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6725F33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35EFA36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55D5368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2855893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747D9A9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11A0284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836508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A07592" w:rsidRPr="00A07592" w14:paraId="497E2F08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B5335BC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241328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A3C5EF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4BD97"/>
            <w:noWrap/>
            <w:vAlign w:val="bottom"/>
            <w:hideMark/>
          </w:tcPr>
          <w:p w14:paraId="29137E6C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% rel.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BE5CF8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A571CCC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AF8A523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1FE40031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8E80E6D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A07592" w:rsidRPr="00A07592" w14:paraId="367FB506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8DF3208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58F148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D126A2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67F83E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4F3388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1CCCBE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8B6C7C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71B61D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084ECDC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</w:t>
            </w:r>
          </w:p>
        </w:tc>
      </w:tr>
      <w:tr w:rsidR="00A07592" w:rsidRPr="00A07592" w14:paraId="3C428483" w14:textId="77777777" w:rsidTr="00A07592">
        <w:trPr>
          <w:trHeight w:val="288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FD2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MEMENTO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08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C8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57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30E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E42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28,7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F4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F0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3C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27,5</w:t>
            </w:r>
          </w:p>
        </w:tc>
      </w:tr>
      <w:tr w:rsidR="00A07592" w:rsidRPr="00A07592" w14:paraId="6CDFDE06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EE264CA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TEMOIN 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1730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E583C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CDBF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8F131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DCC92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CB40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4585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2E3CD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28,1</w:t>
            </w:r>
          </w:p>
        </w:tc>
      </w:tr>
      <w:tr w:rsidR="00A07592" w:rsidRPr="00A07592" w14:paraId="6380B184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884C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VITELLIO (T)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B46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E49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54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76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E86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D9D6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9F3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F5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28,0</w:t>
            </w:r>
          </w:p>
        </w:tc>
      </w:tr>
      <w:tr w:rsidR="00A07592" w:rsidRPr="00A07592" w14:paraId="578F1800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C47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1C2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D9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21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695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25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AF2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E3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32,6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53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30,3</w:t>
            </w:r>
          </w:p>
        </w:tc>
      </w:tr>
      <w:tr w:rsidR="00A07592" w:rsidRPr="00A07592" w14:paraId="512E7F54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399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RODRIGUEZ KWS (T)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F82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1C5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CDB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42A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DE0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ADA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23,7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3D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2B9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25,3</w:t>
            </w:r>
          </w:p>
        </w:tc>
      </w:tr>
      <w:tr w:rsidR="00A07592" w:rsidRPr="00A07592" w14:paraId="3550EB2E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779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49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2E62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F67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82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44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BF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28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31,9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7B1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28,8</w:t>
            </w:r>
          </w:p>
        </w:tc>
      </w:tr>
      <w:tr w:rsidR="00A07592" w:rsidRPr="00A07592" w14:paraId="432AD42F" w14:textId="77777777" w:rsidTr="00A07592">
        <w:trPr>
          <w:trHeight w:val="288"/>
        </w:trPr>
        <w:tc>
          <w:tcPr>
            <w:tcW w:w="2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vAlign w:val="bottom"/>
            <w:hideMark/>
          </w:tcPr>
          <w:p w14:paraId="7C5B214B" w14:textId="77777777" w:rsidR="00A07592" w:rsidRPr="00A07592" w:rsidRDefault="00A07592" w:rsidP="00A07592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Tém.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9356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13262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3881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9A17F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13958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53A43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12850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8EDDC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A02BE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7E334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413DD" w14:textId="77777777" w:rsidR="00A07592" w:rsidRPr="00A07592" w:rsidRDefault="00A07592" w:rsidP="00A07592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A0759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A07592" w:rsidRPr="00A07592" w14:paraId="6DEFF8F6" w14:textId="77777777" w:rsidTr="00A07592">
        <w:trPr>
          <w:trHeight w:val="288"/>
        </w:trPr>
        <w:tc>
          <w:tcPr>
            <w:tcW w:w="14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F32D" w14:textId="77777777" w:rsidR="00A07592" w:rsidRPr="00A07592" w:rsidRDefault="00A07592" w:rsidP="00A07592">
            <w:pPr>
              <w:widowControl/>
              <w:rPr>
                <w:rFonts w:ascii="Calibri" w:hAnsi="Calibri" w:cs="Calibri"/>
                <w:color w:val="000000"/>
                <w:sz w:val="20"/>
                <w:lang w:eastAsia="nl-BE"/>
              </w:rPr>
            </w:pPr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 (1) le </w:t>
            </w:r>
            <w:proofErr w:type="spellStart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>témoin</w:t>
            </w:r>
            <w:proofErr w:type="spellEnd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</w:t>
            </w:r>
            <w:proofErr w:type="spellStart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>est</w:t>
            </w:r>
            <w:proofErr w:type="spellEnd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la </w:t>
            </w:r>
            <w:proofErr w:type="spellStart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>moyenne</w:t>
            </w:r>
            <w:proofErr w:type="spellEnd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des </w:t>
            </w:r>
            <w:proofErr w:type="spellStart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>variétés</w:t>
            </w:r>
            <w:proofErr w:type="spellEnd"/>
            <w:r w:rsidRPr="00A07592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KWS VITELLIO, MILLESIM, RODRIGUEZ KWS et SUCCESSOR KWS</w:t>
            </w:r>
          </w:p>
        </w:tc>
      </w:tr>
    </w:tbl>
    <w:p w14:paraId="0952C7DB" w14:textId="77777777" w:rsidR="00A07592" w:rsidRPr="00A07592" w:rsidRDefault="00A07592" w:rsidP="00F528EF">
      <w:pPr>
        <w:rPr>
          <w:rFonts w:asciiTheme="minorHAnsi" w:hAnsiTheme="minorHAnsi" w:cstheme="minorHAnsi"/>
          <w:sz w:val="22"/>
          <w:szCs w:val="22"/>
        </w:rPr>
      </w:pPr>
    </w:p>
    <w:p w14:paraId="1598EA36" w14:textId="77777777" w:rsidR="00417178" w:rsidRPr="005A6334" w:rsidRDefault="00417178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437C1864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</w:p>
    <w:p w14:paraId="0AC08973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  <w:sectPr w:rsidR="00F528EF" w:rsidRPr="005A6334" w:rsidSect="00A07592">
          <w:headerReference w:type="default" r:id="rId9"/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5C171" w14:textId="77777777" w:rsidR="00F528EF" w:rsidRPr="005A6334" w:rsidRDefault="00F528EF" w:rsidP="00F528EF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>DESCRIPTION DES VARIETES :</w:t>
      </w:r>
    </w:p>
    <w:p w14:paraId="35BADC86" w14:textId="77777777" w:rsidR="00F528EF" w:rsidRPr="005A6334" w:rsidRDefault="00F528EF" w:rsidP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fr-BE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860"/>
      </w:tblGrid>
      <w:tr w:rsidR="005277CF" w:rsidRPr="005277CF" w14:paraId="6C70D8A3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C66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MEMENTO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5C1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5277CF" w:rsidRPr="005277CF" w14:paraId="7DFF6781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E904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056A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5277CF" w:rsidRPr="005277CF" w14:paraId="1D6C2FD1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250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5A0C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SAAT SE</w:t>
            </w:r>
          </w:p>
        </w:tc>
      </w:tr>
      <w:tr w:rsidR="005277CF" w:rsidRPr="005277CF" w14:paraId="328EEF4E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13E8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80DA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5277CF" w:rsidRPr="005277CF" w14:paraId="64DF81F9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6172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hybride :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1A6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5277CF" w:rsidRPr="005277CF" w14:paraId="2C0D2955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109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F78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5277CF" w:rsidRPr="005277CF" w14:paraId="242135B7" w14:textId="77777777" w:rsidTr="005277CF">
        <w:trPr>
          <w:trHeight w:val="28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7A73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Admise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comme maïs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</w:tr>
      <w:tr w:rsidR="005277CF" w:rsidRPr="005277CF" w14:paraId="5F4112BF" w14:textId="77777777" w:rsidTr="005277CF">
        <w:trPr>
          <w:trHeight w:val="28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034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La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variété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participé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aux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essais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en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2019, 2020 et 2021 sous la </w:t>
            </w:r>
            <w:proofErr w:type="spellStart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référence</w:t>
            </w:r>
            <w:proofErr w:type="spellEnd"/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 xml:space="preserve"> : KXB8309</w:t>
            </w:r>
          </w:p>
        </w:tc>
      </w:tr>
      <w:tr w:rsidR="005277CF" w:rsidRPr="005277CF" w14:paraId="09BADA98" w14:textId="77777777" w:rsidTr="005277CF">
        <w:trPr>
          <w:trHeight w:val="2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0AA4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5277CF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/01638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CF0" w14:textId="77777777" w:rsidR="005277CF" w:rsidRPr="005277CF" w:rsidRDefault="005277CF" w:rsidP="005277C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6840B0D4" w14:textId="77777777" w:rsidR="00F528EF" w:rsidRDefault="00F528E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C8B5AE6" w14:textId="779BA239" w:rsidR="00FE784F" w:rsidRDefault="00FE784F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EF5A9A" w14:textId="7F3D7C1B" w:rsidR="00FE784F" w:rsidRPr="005A6334" w:rsidRDefault="00FE784F" w:rsidP="00FE78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>Variétés reprises</w:t>
      </w:r>
      <w:r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après 2</w:t>
      </w: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t xml:space="preserve"> années d'essais</w:t>
      </w:r>
    </w:p>
    <w:p w14:paraId="4173AEB2" w14:textId="77777777" w:rsidR="00FE784F" w:rsidRPr="005A6334" w:rsidRDefault="00FE784F" w:rsidP="00FE784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E01B9F5" w14:textId="30901598" w:rsidR="00FE784F" w:rsidRPr="005A6334" w:rsidRDefault="00FE784F" w:rsidP="00FE784F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Les essais réalisés en 2020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et 2021 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en vue de l'inscription des variétés de maïs grain au Catalogue national des variétés, ont permis l'admission de la variété suivante: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KWS CURACUA, KWS ZEAGRANO et KWS GUILIO.</w:t>
      </w:r>
    </w:p>
    <w:p w14:paraId="7347B6EE" w14:textId="77777777" w:rsidR="00FE784F" w:rsidRPr="005A6334" w:rsidRDefault="00FE784F" w:rsidP="00FE784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141BAE1" w14:textId="77777777" w:rsidR="00FE784F" w:rsidRPr="005A6334" w:rsidRDefault="00FE784F" w:rsidP="00FE784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>Les essais ont été effectués dans 6 centres situés dans les régions agricoles suivantes : région limoneuse (2 essais), Polders (1 essai), région sablo-limoneuse (2 essais) et région Campine (1 essai).</w:t>
      </w:r>
    </w:p>
    <w:p w14:paraId="71AB0B4C" w14:textId="77777777" w:rsidR="00FE784F" w:rsidRPr="005A6334" w:rsidRDefault="00FE784F" w:rsidP="00FE784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49DD6057" w14:textId="05CD44FE" w:rsidR="00FE784F" w:rsidRPr="005A6334" w:rsidRDefault="00FE784F" w:rsidP="00FE784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5A6334">
        <w:rPr>
          <w:rFonts w:asciiTheme="minorHAnsi" w:hAnsiTheme="minorHAnsi" w:cstheme="minorHAnsi"/>
          <w:sz w:val="22"/>
          <w:szCs w:val="22"/>
          <w:lang w:val="fr-FR"/>
        </w:rPr>
        <w:t xml:space="preserve">Les données concernant la croissance juvénile, la verse, ... sont reprises au </w:t>
      </w:r>
      <w:r w:rsidRPr="006760E6">
        <w:rPr>
          <w:rFonts w:asciiTheme="minorHAnsi" w:hAnsiTheme="minorHAnsi" w:cstheme="minorHAnsi"/>
          <w:color w:val="000000" w:themeColor="text1"/>
          <w:sz w:val="22"/>
          <w:szCs w:val="22"/>
          <w:lang w:val="fr-FR"/>
        </w:rPr>
        <w:t>tableau 3</w:t>
      </w:r>
      <w:r w:rsidRPr="005A6334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14:paraId="4CC5BBA7" w14:textId="77777777" w:rsidR="00FE784F" w:rsidRPr="005A6334" w:rsidRDefault="00FE784F" w:rsidP="00FE784F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8BCCB89" w14:textId="77777777" w:rsidR="00FE784F" w:rsidRPr="005A6334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Lorsque l'échelle (1-9) est utilisée, 9 représente la cote la plus favorable.</w:t>
      </w:r>
    </w:p>
    <w:p w14:paraId="5DD926C0" w14:textId="77777777" w:rsidR="00FE784F" w:rsidRPr="005A6334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6EB087BD" w14:textId="1EB25673" w:rsidR="00FE784F" w:rsidRPr="005A6334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Les résultats de rendement et de précocité </w:t>
      </w:r>
      <w:r>
        <w:rPr>
          <w:rFonts w:asciiTheme="minorHAnsi" w:hAnsiTheme="minorHAnsi" w:cstheme="minorHAnsi"/>
          <w:sz w:val="22"/>
          <w:szCs w:val="22"/>
          <w:lang w:val="fr-BE" w:eastAsia="nl-BE"/>
        </w:rPr>
        <w:t>sont repris au tableau 4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05543E66" w14:textId="77777777" w:rsidR="00FE784F" w:rsidRPr="005A6334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0BEA6F5A" w14:textId="6A725F22" w:rsidR="00FE784F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En conclusion, vous trou</w:t>
      </w:r>
      <w:r>
        <w:rPr>
          <w:rFonts w:asciiTheme="minorHAnsi" w:hAnsiTheme="minorHAnsi" w:cstheme="minorHAnsi"/>
          <w:sz w:val="22"/>
          <w:szCs w:val="22"/>
          <w:lang w:val="fr-BE" w:eastAsia="nl-BE"/>
        </w:rPr>
        <w:t>verez une courte description de la nouvelle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 xml:space="preserve"> variété </w:t>
      </w:r>
      <w:r>
        <w:rPr>
          <w:rFonts w:asciiTheme="minorHAnsi" w:hAnsiTheme="minorHAnsi" w:cstheme="minorHAnsi"/>
          <w:sz w:val="22"/>
          <w:szCs w:val="22"/>
          <w:lang w:val="fr-BE" w:eastAsia="nl-BE"/>
        </w:rPr>
        <w:t>admise</w:t>
      </w:r>
      <w:r w:rsidRPr="005A6334">
        <w:rPr>
          <w:rFonts w:asciiTheme="minorHAnsi" w:hAnsiTheme="minorHAnsi" w:cstheme="minorHAnsi"/>
          <w:sz w:val="22"/>
          <w:szCs w:val="22"/>
          <w:lang w:val="fr-BE" w:eastAsia="nl-BE"/>
        </w:rPr>
        <w:t>.</w:t>
      </w:r>
    </w:p>
    <w:p w14:paraId="24464E2E" w14:textId="4A6A18A6" w:rsidR="00FE784F" w:rsidRDefault="00FE784F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63406927" w14:textId="2D05635E" w:rsidR="00667013" w:rsidRDefault="00667013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5C68235B" w14:textId="77777777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  <w:sectPr w:rsidR="006760E6" w:rsidSect="00766707">
          <w:footerReference w:type="default" r:id="rId11"/>
          <w:pgSz w:w="11906" w:h="16838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tbl>
      <w:tblPr>
        <w:tblW w:w="138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675"/>
        <w:gridCol w:w="1675"/>
        <w:gridCol w:w="1675"/>
        <w:gridCol w:w="1675"/>
        <w:gridCol w:w="1675"/>
        <w:gridCol w:w="1675"/>
        <w:gridCol w:w="1675"/>
      </w:tblGrid>
      <w:tr w:rsidR="006760E6" w:rsidRPr="008F4ED2" w14:paraId="4AA33561" w14:textId="77777777" w:rsidTr="006760E6">
        <w:trPr>
          <w:trHeight w:val="828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1799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3 : Caractères généraux de la nouvelle variété de maïs grain admise au catalogue en 2022 en comparaison avec les 4 meilleures variétés témoins sur la base des essais de 2020 et 2021</w:t>
            </w:r>
          </w:p>
        </w:tc>
      </w:tr>
      <w:tr w:rsidR="006760E6" w:rsidRPr="006760E6" w14:paraId="240B5AAB" w14:textId="77777777" w:rsidTr="006760E6">
        <w:trPr>
          <w:trHeight w:val="15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2439A2F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Caractères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67EF60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Vigueur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au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départ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(1-9)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FB08B2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Floraison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épis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(# jours) (2)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2D774F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Longueur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plantes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(cm)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EAF163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Hauteur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moyenne de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l'implantation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l'épi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(cm)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1DF56C05" w14:textId="75F98111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Verse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B3DBC7A" w14:textId="7E0A7690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1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A748B28" w14:textId="6159DD25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Pourriture moment 2</w:t>
            </w:r>
            <w:r w:rsidR="008F4ED2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(%)</w:t>
            </w:r>
            <w:bookmarkStart w:id="0" w:name="_GoBack"/>
            <w:bookmarkEnd w:id="0"/>
          </w:p>
        </w:tc>
      </w:tr>
      <w:tr w:rsidR="006760E6" w:rsidRPr="006760E6" w14:paraId="23796979" w14:textId="77777777" w:rsidTr="006760E6">
        <w:trPr>
          <w:trHeight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2A2237E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 (1)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1387CA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F12F16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4C2E07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32B277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995534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0A87ED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B1804B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6760E6" w:rsidRPr="006760E6" w14:paraId="24CA29C0" w14:textId="77777777" w:rsidTr="006760E6">
        <w:trPr>
          <w:trHeight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03D01902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# 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15C113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240DE46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4400AA7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899AAD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6A3CF39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3F59EC1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vAlign w:val="bottom"/>
            <w:hideMark/>
          </w:tcPr>
          <w:p w14:paraId="77C3922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</w:t>
            </w:r>
          </w:p>
        </w:tc>
      </w:tr>
      <w:tr w:rsidR="006760E6" w:rsidRPr="006760E6" w14:paraId="2EE297E9" w14:textId="77777777" w:rsidTr="006760E6">
        <w:trPr>
          <w:trHeight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66EA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CURACUA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9B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5E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4,4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79F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FCA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BA4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C9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8,6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62AF0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11,7</w:t>
            </w:r>
          </w:p>
        </w:tc>
      </w:tr>
      <w:tr w:rsidR="006760E6" w:rsidRPr="006760E6" w14:paraId="283D2380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7BB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ZEAGRANO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F2B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1E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8B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6F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17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A6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4FD65F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0,4</w:t>
            </w:r>
          </w:p>
        </w:tc>
      </w:tr>
      <w:tr w:rsidR="006760E6" w:rsidRPr="006760E6" w14:paraId="46B01E79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A184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GIULIO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1C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2B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3,6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3F9A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292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0D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7C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5,9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A4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D3FE13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2,1</w:t>
            </w:r>
          </w:p>
        </w:tc>
      </w:tr>
      <w:tr w:rsidR="006760E6" w:rsidRPr="006760E6" w14:paraId="3D23A55B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6D8DEEFB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TEMOIN (3)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9160A0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D8B3EF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41FAE81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51A67ED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7B5CD8B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33F1EF4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6375E6C9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2,6</w:t>
            </w:r>
          </w:p>
        </w:tc>
      </w:tr>
      <w:tr w:rsidR="006760E6" w:rsidRPr="006760E6" w14:paraId="1CB19255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2F6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KALIENTES (T)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351C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406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537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DC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102D3257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3,2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0F0E0F0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CE8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2,1</w:t>
            </w:r>
          </w:p>
        </w:tc>
      </w:tr>
      <w:tr w:rsidR="006760E6" w:rsidRPr="006760E6" w14:paraId="30A2EC5F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7662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VITELLIO (T)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D9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E11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4,5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1CA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97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113536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B3322F3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7EF2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5,6</w:t>
            </w:r>
          </w:p>
        </w:tc>
      </w:tr>
      <w:tr w:rsidR="006760E6" w:rsidRPr="006760E6" w14:paraId="53A9FC96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5E9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DD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DB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0,8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5B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8EC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E5F67DB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1D201966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38D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1,3</w:t>
            </w:r>
          </w:p>
        </w:tc>
      </w:tr>
      <w:tr w:rsidR="006760E6" w:rsidRPr="006760E6" w14:paraId="6748DC95" w14:textId="77777777" w:rsidTr="006760E6">
        <w:trPr>
          <w:trHeight w:val="288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3C7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2899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7,5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79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E9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1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C7F1565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026487A8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1D7" w14:textId="77777777" w:rsidR="006760E6" w:rsidRPr="006760E6" w:rsidRDefault="006760E6" w:rsidP="006760E6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sz w:val="22"/>
                <w:szCs w:val="22"/>
                <w:lang w:val="nl-BE" w:eastAsia="nl-BE"/>
              </w:rPr>
              <w:t>1,5</w:t>
            </w:r>
          </w:p>
        </w:tc>
      </w:tr>
      <w:tr w:rsidR="006760E6" w:rsidRPr="006760E6" w14:paraId="38D77348" w14:textId="77777777" w:rsidTr="006760E6">
        <w:trPr>
          <w:trHeight w:val="288"/>
        </w:trPr>
        <w:tc>
          <w:tcPr>
            <w:tcW w:w="138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B0D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 xml:space="preserve">  (1) T = variété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>témoin</w:t>
            </w:r>
            <w:proofErr w:type="spellEnd"/>
          </w:p>
        </w:tc>
      </w:tr>
      <w:tr w:rsidR="006760E6" w:rsidRPr="006760E6" w14:paraId="702BAB6A" w14:textId="77777777" w:rsidTr="006760E6">
        <w:trPr>
          <w:trHeight w:val="288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57D0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 xml:space="preserve">  (2)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>jours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 xml:space="preserve"> plus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>tardifs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 xml:space="preserve"> que KALIENTES</w:t>
            </w:r>
          </w:p>
        </w:tc>
      </w:tr>
      <w:tr w:rsidR="006760E6" w:rsidRPr="006760E6" w14:paraId="1FC956C0" w14:textId="77777777" w:rsidTr="006760E6">
        <w:trPr>
          <w:trHeight w:val="288"/>
        </w:trPr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EE14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0"/>
                <w:lang w:eastAsia="nl-BE"/>
              </w:rPr>
              <w:t xml:space="preserve">  </w:t>
            </w:r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 xml:space="preserve">(3)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>le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 xml:space="preserve">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>témoin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 xml:space="preserve">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>est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0"/>
                <w:lang w:val="nl-BE" w:eastAsia="nl-BE"/>
              </w:rPr>
              <w:t xml:space="preserve"> la moyenne des variétés KALIENTES, KWS VITELLIO, MILLESIM EN SUCCESSOR KWS</w:t>
            </w:r>
          </w:p>
        </w:tc>
      </w:tr>
    </w:tbl>
    <w:p w14:paraId="42C1E9D6" w14:textId="19E93A25" w:rsidR="00667013" w:rsidRDefault="00667013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23686F57" w14:textId="1471E49C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705BE200" w14:textId="60AE9237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242C433D" w14:textId="1BABF1C1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2E663ECC" w14:textId="0D3EDCBE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3FA71787" w14:textId="1497E900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22D25242" w14:textId="1AA1F6A5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527FDFB9" w14:textId="03A053E9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38BFCEF0" w14:textId="220E7373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1F6FCC82" w14:textId="5BEBADF2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tbl>
      <w:tblPr>
        <w:tblW w:w="137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1648"/>
        <w:gridCol w:w="1648"/>
        <w:gridCol w:w="1648"/>
        <w:gridCol w:w="592"/>
        <w:gridCol w:w="1160"/>
        <w:gridCol w:w="1752"/>
        <w:gridCol w:w="1752"/>
      </w:tblGrid>
      <w:tr w:rsidR="006760E6" w:rsidRPr="008F4ED2" w14:paraId="7CFB42CE" w14:textId="77777777" w:rsidTr="006760E6">
        <w:trPr>
          <w:trHeight w:val="876"/>
        </w:trPr>
        <w:tc>
          <w:tcPr>
            <w:tcW w:w="13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0622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fr-BE" w:eastAsia="nl-BE"/>
              </w:rPr>
              <w:lastRenderedPageBreak/>
              <w:t>Tableau 4 : Résultats des rendements et de précocité de les nouvelles variétés de maïs grain admise au catalogue en 2022 en comparaison avec les 4 meilleures variétés témoins, sur la base des essais de 2020 et 2021.</w:t>
            </w:r>
          </w:p>
        </w:tc>
      </w:tr>
      <w:tr w:rsidR="006760E6" w:rsidRPr="006760E6" w14:paraId="51C4B445" w14:textId="77777777" w:rsidTr="006760E6">
        <w:trPr>
          <w:trHeight w:val="840"/>
        </w:trPr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E3ECDCC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Variétés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D9D9" w:fill="C4BD97"/>
            <w:vAlign w:val="bottom"/>
            <w:hideMark/>
          </w:tcPr>
          <w:p w14:paraId="5A69F9C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Rendement en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grains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(15%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d'humidité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) en %  par rapport à la moyenne des variétés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témoins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= 100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9D9D9" w:fill="C4BD97"/>
            <w:noWrap/>
            <w:vAlign w:val="center"/>
            <w:hideMark/>
          </w:tcPr>
          <w:p w14:paraId="2EA02BF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Précocité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 (%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d'humidité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grains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)</w:t>
            </w:r>
          </w:p>
        </w:tc>
      </w:tr>
      <w:tr w:rsidR="006760E6" w:rsidRPr="006760E6" w14:paraId="2051C97F" w14:textId="77777777" w:rsidTr="006760E6">
        <w:trPr>
          <w:trHeight w:val="288"/>
        </w:trPr>
        <w:tc>
          <w:tcPr>
            <w:tcW w:w="3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4A4B8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1E6FDEA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44BE05F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8F795E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D3F334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5C9E517A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sz w:val="22"/>
                <w:szCs w:val="22"/>
                <w:lang w:val="nl-BE" w:eastAsia="nl-BE"/>
              </w:rPr>
              <w:t>2021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0A8A1B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pon.</w:t>
            </w:r>
          </w:p>
        </w:tc>
      </w:tr>
      <w:tr w:rsidR="006760E6" w:rsidRPr="006760E6" w14:paraId="3F764A01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7CABCDF2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6608C1A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C4BD97"/>
            <w:noWrap/>
            <w:vAlign w:val="bottom"/>
            <w:hideMark/>
          </w:tcPr>
          <w:p w14:paraId="78FB51A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% rel. 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C796AC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% rel.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90179B5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C4BD97"/>
            <w:noWrap/>
            <w:vAlign w:val="bottom"/>
            <w:hideMark/>
          </w:tcPr>
          <w:p w14:paraId="08A6D772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03A3D6DB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mbria" w:hAnsi="Cambria" w:cs="Cambria"/>
                <w:color w:val="000000"/>
                <w:sz w:val="22"/>
                <w:szCs w:val="22"/>
                <w:lang w:val="nl-BE" w:eastAsia="nl-BE"/>
              </w:rPr>
              <w:t> </w:t>
            </w:r>
          </w:p>
        </w:tc>
      </w:tr>
      <w:tr w:rsidR="006760E6" w:rsidRPr="006760E6" w14:paraId="5EDB0048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801D5EA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 xml:space="preserve"># </w:t>
            </w: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centres</w:t>
            </w:r>
            <w:proofErr w:type="spellEnd"/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39784BC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56FFB5A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AE7E55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1D56EEA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2B0DB27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C4BD97"/>
            <w:noWrap/>
            <w:vAlign w:val="bottom"/>
            <w:hideMark/>
          </w:tcPr>
          <w:p w14:paraId="478545F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8</w:t>
            </w:r>
          </w:p>
        </w:tc>
      </w:tr>
      <w:tr w:rsidR="006760E6" w:rsidRPr="006760E6" w14:paraId="3AC219B7" w14:textId="77777777" w:rsidTr="006760E6">
        <w:trPr>
          <w:trHeight w:val="288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B049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CURACUA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A1A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692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8D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36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8B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27,4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57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26,7</w:t>
            </w:r>
          </w:p>
        </w:tc>
      </w:tr>
      <w:tr w:rsidR="006760E6" w:rsidRPr="006760E6" w14:paraId="4A3A4A19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6A4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ZEAGRANO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E29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98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06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C3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8CC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24,6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5B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28,7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8C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26,1</w:t>
            </w:r>
          </w:p>
        </w:tc>
      </w:tr>
      <w:tr w:rsidR="006760E6" w:rsidRPr="006760E6" w14:paraId="25CBFA50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76BA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GIULIO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8A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24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6E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609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24,8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89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27,5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0EB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25,8</w:t>
            </w:r>
          </w:p>
        </w:tc>
      </w:tr>
      <w:tr w:rsidR="006760E6" w:rsidRPr="006760E6" w14:paraId="0D5FDEE0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noWrap/>
            <w:vAlign w:val="bottom"/>
            <w:hideMark/>
          </w:tcPr>
          <w:p w14:paraId="1D4E9B1E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TEMOIN (1)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18F6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6995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365AE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49384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049F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26A9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28,5</w:t>
            </w:r>
          </w:p>
        </w:tc>
      </w:tr>
      <w:tr w:rsidR="006760E6" w:rsidRPr="006760E6" w14:paraId="5C139CD5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DCF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KALIENTES (T)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E2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8A6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52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96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990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82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E9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27,4</w:t>
            </w:r>
          </w:p>
        </w:tc>
      </w:tr>
      <w:tr w:rsidR="006760E6" w:rsidRPr="006760E6" w14:paraId="16D9B14D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8260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KWS VITELLIO (T)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56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2E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99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00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6CE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0FA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175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27,6</w:t>
            </w:r>
          </w:p>
        </w:tc>
      </w:tr>
      <w:tr w:rsidR="006760E6" w:rsidRPr="006760E6" w14:paraId="280C75EA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880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MILLESIM (T)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72D0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6702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29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BF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29,0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C9E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32,6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7976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30,3</w:t>
            </w:r>
          </w:p>
        </w:tc>
      </w:tr>
      <w:tr w:rsidR="006760E6" w:rsidRPr="006760E6" w14:paraId="5A975362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7E1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SUCCESSOR KWS (T)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DC5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30D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F98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103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F7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26,7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D1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31,9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F61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28,6</w:t>
            </w:r>
          </w:p>
        </w:tc>
      </w:tr>
      <w:tr w:rsidR="006760E6" w:rsidRPr="006760E6" w14:paraId="2CA9D06C" w14:textId="77777777" w:rsidTr="006760E6">
        <w:trPr>
          <w:trHeight w:val="288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D9D9D9"/>
            <w:vAlign w:val="bottom"/>
            <w:hideMark/>
          </w:tcPr>
          <w:p w14:paraId="7A66CAD0" w14:textId="77777777" w:rsidR="006760E6" w:rsidRPr="006760E6" w:rsidRDefault="006760E6" w:rsidP="006760E6">
            <w:pPr>
              <w:widowControl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Moy</w:t>
            </w:r>
            <w:proofErr w:type="spellEnd"/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. Tém.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F833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11769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D91C43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14261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DFCEC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12704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7CC79F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2E917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4F864" w14:textId="77777777" w:rsidR="006760E6" w:rsidRPr="006760E6" w:rsidRDefault="006760E6" w:rsidP="006760E6">
            <w:pPr>
              <w:widowControl/>
              <w:jc w:val="center"/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FlandersArtSans-Regular" w:hAnsi="FlandersArtSans-Regular" w:cs="Calibri"/>
                <w:color w:val="000000"/>
                <w:sz w:val="22"/>
                <w:szCs w:val="22"/>
                <w:lang w:val="nl-BE" w:eastAsia="nl-BE"/>
              </w:rPr>
              <w:t>-</w:t>
            </w:r>
          </w:p>
        </w:tc>
      </w:tr>
      <w:tr w:rsidR="006760E6" w:rsidRPr="006760E6" w14:paraId="2BA919F1" w14:textId="77777777" w:rsidTr="006760E6">
        <w:trPr>
          <w:trHeight w:val="288"/>
        </w:trPr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CA4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0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 (1) le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>témoin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>est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la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>moyenne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des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>variétés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0"/>
                <w:lang w:eastAsia="nl-BE"/>
              </w:rPr>
              <w:t xml:space="preserve"> KALIENTES, KWS VITELLIO, MILLESIM ET SUCCESSOR KWS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150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0"/>
                <w:lang w:eastAsia="nl-BE"/>
              </w:rPr>
            </w:pPr>
          </w:p>
        </w:tc>
      </w:tr>
    </w:tbl>
    <w:p w14:paraId="7B7D092F" w14:textId="77777777" w:rsidR="006760E6" w:rsidRP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eastAsia="nl-BE"/>
        </w:rPr>
      </w:pPr>
    </w:p>
    <w:p w14:paraId="32CDBA16" w14:textId="5D839B92" w:rsidR="00667013" w:rsidRDefault="00667013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val="fr-BE" w:eastAsia="nl-BE"/>
        </w:rPr>
      </w:pPr>
    </w:p>
    <w:p w14:paraId="0EE3A426" w14:textId="77777777" w:rsidR="006760E6" w:rsidRDefault="006760E6" w:rsidP="00FE784F">
      <w:pPr>
        <w:widowControl/>
        <w:jc w:val="both"/>
        <w:rPr>
          <w:rFonts w:asciiTheme="minorHAnsi" w:hAnsiTheme="minorHAnsi" w:cstheme="minorHAnsi"/>
          <w:sz w:val="22"/>
          <w:szCs w:val="22"/>
          <w:lang w:eastAsia="nl-BE"/>
        </w:rPr>
        <w:sectPr w:rsidR="006760E6" w:rsidSect="006760E6">
          <w:headerReference w:type="default" r:id="rId12"/>
          <w:footerReference w:type="default" r:id="rId13"/>
          <w:pgSz w:w="16838" w:h="11906" w:orient="landscape"/>
          <w:pgMar w:top="1418" w:right="1418" w:bottom="1418" w:left="1418" w:header="0" w:footer="709" w:gutter="0"/>
          <w:cols w:space="720"/>
          <w:formProt w:val="0"/>
          <w:docGrid w:linePitch="360" w:charSpace="-6145"/>
        </w:sectPr>
      </w:pPr>
    </w:p>
    <w:p w14:paraId="403862AD" w14:textId="77777777" w:rsidR="00667013" w:rsidRPr="005A6334" w:rsidRDefault="00667013" w:rsidP="00667013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5A6334">
        <w:rPr>
          <w:rFonts w:asciiTheme="minorHAnsi" w:hAnsiTheme="minorHAnsi" w:cstheme="minorHAnsi"/>
          <w:sz w:val="22"/>
          <w:szCs w:val="22"/>
          <w:u w:val="single"/>
          <w:lang w:val="fr-FR"/>
        </w:rPr>
        <w:lastRenderedPageBreak/>
        <w:t>DESCRIPTION DES VARIETES :</w:t>
      </w:r>
    </w:p>
    <w:p w14:paraId="1825390D" w14:textId="20A61D32" w:rsidR="00AD78E7" w:rsidRDefault="00AD78E7" w:rsidP="001043EB">
      <w:pPr>
        <w:widowControl/>
        <w:rPr>
          <w:rFonts w:asciiTheme="minorHAnsi" w:hAnsiTheme="minorHAnsi" w:cstheme="minorHAnsi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180"/>
      </w:tblGrid>
      <w:tr w:rsidR="006760E6" w:rsidRPr="006760E6" w14:paraId="68D9B76E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4E99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CURACUA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030B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760E6" w:rsidRPr="006760E6" w14:paraId="020A0C50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03D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F80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5819BC85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015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F14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06632608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1461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3D1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BV</w:t>
            </w:r>
          </w:p>
        </w:tc>
      </w:tr>
      <w:tr w:rsidR="006760E6" w:rsidRPr="006760E6" w14:paraId="4CA516F5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B0DD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hybride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CB5B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760E6" w:rsidRPr="006760E6" w14:paraId="38CEA321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97FB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65D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760E6" w:rsidRPr="006760E6" w14:paraId="59B6780F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FE8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Admise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comme maïs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</w:tr>
      <w:tr w:rsidR="006760E6" w:rsidRPr="006760E6" w14:paraId="5CCA0E2F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B58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2020 et 2021 sous la référence : KXB9014</w:t>
            </w:r>
          </w:p>
        </w:tc>
      </w:tr>
      <w:tr w:rsidR="006760E6" w:rsidRPr="006760E6" w14:paraId="20F1C626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F5B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RW 80-1145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5D9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760E6" w:rsidRPr="006760E6" w14:paraId="097A0F3F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42D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147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760E6" w:rsidRPr="006760E6" w14:paraId="0094B1F3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9E2F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30AF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760E6" w:rsidRPr="006760E6" w14:paraId="283B360E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5AD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ZEAGRANO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B35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760E6" w:rsidRPr="006760E6" w14:paraId="2D1E0C8B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7A9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C4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3DBE46BB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2C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F87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4FB9164C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F9D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460C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6760E6" w:rsidRPr="006760E6" w14:paraId="62F43E46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695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hybride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4DB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760E6" w:rsidRPr="006760E6" w14:paraId="6E13758C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DFA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D9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à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760E6" w:rsidRPr="006760E6" w14:paraId="175FA2D7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7C6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Admise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comme maïs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</w:tr>
      <w:tr w:rsidR="006760E6" w:rsidRPr="006760E6" w14:paraId="7AA198CB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D6F7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2020 et 2021 sous la référence : KXC0301</w:t>
            </w:r>
          </w:p>
        </w:tc>
      </w:tr>
      <w:tr w:rsidR="006760E6" w:rsidRPr="006760E6" w14:paraId="14309DD3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A67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/01686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2EA0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760E6" w:rsidRPr="006760E6" w14:paraId="5B7CEB28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5822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D7D5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760E6" w:rsidRPr="006760E6" w14:paraId="6CBD8430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4335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34C1" w14:textId="77777777" w:rsidR="006760E6" w:rsidRPr="006760E6" w:rsidRDefault="006760E6" w:rsidP="006760E6">
            <w:pPr>
              <w:widowControl/>
              <w:rPr>
                <w:rFonts w:ascii="Times New Roman" w:hAnsi="Times New Roman"/>
                <w:sz w:val="20"/>
                <w:lang w:val="nl-BE" w:eastAsia="nl-BE"/>
              </w:rPr>
            </w:pPr>
          </w:p>
        </w:tc>
      </w:tr>
      <w:tr w:rsidR="006760E6" w:rsidRPr="006760E6" w14:paraId="288C06EA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087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  <w:t>KWS GIULIO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A8B5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6760E6" w:rsidRPr="006760E6" w14:paraId="5C9A41F7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CB6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Demandeur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6374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7983FB0D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EFE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Obteneur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9D14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KWS SAAT SE &amp; CO. KGAA</w:t>
            </w:r>
          </w:p>
        </w:tc>
      </w:tr>
      <w:tr w:rsidR="006760E6" w:rsidRPr="006760E6" w14:paraId="28EDF185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2C6A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Mandataire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C0BD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KWS BENELUX BELGIUM BRANCH</w:t>
            </w:r>
          </w:p>
        </w:tc>
      </w:tr>
      <w:tr w:rsidR="006760E6" w:rsidRPr="006760E6" w14:paraId="4E0FD7AF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5382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hybride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40C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Hybride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simple</w:t>
            </w:r>
            <w:proofErr w:type="spellEnd"/>
          </w:p>
        </w:tc>
      </w:tr>
      <w:tr w:rsidR="006760E6" w:rsidRPr="006760E6" w14:paraId="7E6BD4FB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40FF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Type de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: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A1C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corné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-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denté</w:t>
            </w:r>
            <w:proofErr w:type="spellEnd"/>
          </w:p>
        </w:tc>
      </w:tr>
      <w:tr w:rsidR="006760E6" w:rsidRPr="006760E6" w14:paraId="0AA97CC0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5F6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Admise</w:t>
            </w:r>
            <w:proofErr w:type="spellEnd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 xml:space="preserve"> comme maïs </w:t>
            </w:r>
            <w:proofErr w:type="spellStart"/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grain</w:t>
            </w:r>
            <w:proofErr w:type="spellEnd"/>
          </w:p>
        </w:tc>
      </w:tr>
      <w:tr w:rsidR="006760E6" w:rsidRPr="006760E6" w14:paraId="273BD6E8" w14:textId="77777777" w:rsidTr="006760E6">
        <w:trPr>
          <w:trHeight w:val="288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95F0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eastAsia="nl-BE"/>
              </w:rPr>
              <w:t>La variété a participé aux essais en 2020 et 2021 sous la référence : KXC0302</w:t>
            </w:r>
          </w:p>
        </w:tc>
      </w:tr>
      <w:tr w:rsidR="006760E6" w:rsidRPr="006760E6" w14:paraId="154A0457" w14:textId="77777777" w:rsidTr="006760E6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3708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  <w:r w:rsidRPr="006760E6"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  <w:t>VG/A/080 /01688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2F4" w14:textId="77777777" w:rsidR="006760E6" w:rsidRPr="006760E6" w:rsidRDefault="006760E6" w:rsidP="006760E6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1FBAB9BE" w14:textId="77777777" w:rsidR="00667013" w:rsidRPr="005A6334" w:rsidRDefault="00667013" w:rsidP="001043EB">
      <w:pPr>
        <w:widowControl/>
        <w:rPr>
          <w:rFonts w:asciiTheme="minorHAnsi" w:hAnsiTheme="minorHAnsi" w:cstheme="minorHAnsi"/>
        </w:rPr>
      </w:pPr>
    </w:p>
    <w:sectPr w:rsidR="00667013" w:rsidRPr="005A6334" w:rsidSect="00766707">
      <w:pgSz w:w="11906" w:h="16838"/>
      <w:pgMar w:top="1418" w:right="1418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F12E" w14:textId="77777777" w:rsidR="005277CF" w:rsidRDefault="005277CF">
      <w:r>
        <w:separator/>
      </w:r>
    </w:p>
  </w:endnote>
  <w:endnote w:type="continuationSeparator" w:id="0">
    <w:p w14:paraId="768B818E" w14:textId="77777777" w:rsidR="005277CF" w:rsidRDefault="0052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613"/>
      <w:docPartObj>
        <w:docPartGallery w:val="Page Numbers (Bottom of Page)"/>
        <w:docPartUnique/>
      </w:docPartObj>
    </w:sdtPr>
    <w:sdtEndPr/>
    <w:sdtContent>
      <w:p w14:paraId="28A580D7" w14:textId="3D8F17A8" w:rsidR="005277CF" w:rsidRDefault="005277C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E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4C74DF" w14:textId="77777777" w:rsidR="005277CF" w:rsidRDefault="005277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619325"/>
      <w:docPartObj>
        <w:docPartGallery w:val="Page Numbers (Bottom of Page)"/>
        <w:docPartUnique/>
      </w:docPartObj>
    </w:sdtPr>
    <w:sdtEndPr/>
    <w:sdtContent>
      <w:p w14:paraId="48E5188B" w14:textId="6DBFDC78" w:rsidR="005277CF" w:rsidRDefault="005277C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E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EB67C3" w14:textId="77777777" w:rsidR="005277CF" w:rsidRDefault="005277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59066"/>
      <w:docPartObj>
        <w:docPartGallery w:val="Page Numbers (Bottom of Page)"/>
        <w:docPartUnique/>
      </w:docPartObj>
    </w:sdtPr>
    <w:sdtEndPr/>
    <w:sdtContent>
      <w:p w14:paraId="067081E8" w14:textId="0D020AD5" w:rsidR="005277CF" w:rsidRDefault="005277CF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4ED2">
          <w:rPr>
            <w:noProof/>
          </w:rPr>
          <w:t>5</w:t>
        </w:r>
        <w:r>
          <w:rPr>
            <w:noProof/>
          </w:rPr>
          <w:fldChar w:fldCharType="end"/>
        </w:r>
      </w:p>
      <w:p w14:paraId="25345A27" w14:textId="77777777" w:rsidR="005277CF" w:rsidRDefault="008F4ED2">
        <w:pPr>
          <w:pStyle w:val="Voettekst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360487"/>
      <w:docPartObj>
        <w:docPartGallery w:val="Page Numbers (Bottom of Page)"/>
        <w:docPartUnique/>
      </w:docPartObj>
    </w:sdtPr>
    <w:sdtEndPr/>
    <w:sdtContent>
      <w:p w14:paraId="46C6E2F5" w14:textId="18850F21" w:rsidR="006760E6" w:rsidRDefault="006760E6">
        <w:pPr>
          <w:pStyle w:val="Voetteks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F4ED2">
          <w:rPr>
            <w:noProof/>
          </w:rPr>
          <w:t>8</w:t>
        </w:r>
        <w:r>
          <w:rPr>
            <w:noProof/>
          </w:rPr>
          <w:fldChar w:fldCharType="end"/>
        </w:r>
      </w:p>
      <w:p w14:paraId="56FDA6DF" w14:textId="77777777" w:rsidR="006760E6" w:rsidRDefault="008F4ED2">
        <w:pPr>
          <w:pStyle w:val="Voet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B661" w14:textId="77777777" w:rsidR="005277CF" w:rsidRDefault="005277CF">
      <w:r>
        <w:separator/>
      </w:r>
    </w:p>
  </w:footnote>
  <w:footnote w:type="continuationSeparator" w:id="0">
    <w:p w14:paraId="657C7806" w14:textId="77777777" w:rsidR="005277CF" w:rsidRDefault="0052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3E67" w14:textId="77777777" w:rsidR="005277CF" w:rsidRDefault="005277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E5F6" w14:textId="77777777" w:rsidR="006760E6" w:rsidRDefault="006760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630B"/>
    <w:multiLevelType w:val="hybridMultilevel"/>
    <w:tmpl w:val="E9B2100A"/>
    <w:lvl w:ilvl="0" w:tplc="B63A7116">
      <w:start w:val="1"/>
      <w:numFmt w:val="decimal"/>
      <w:lvlText w:val="(%1)"/>
      <w:lvlJc w:val="left"/>
      <w:pPr>
        <w:ind w:left="456" w:hanging="360"/>
      </w:pPr>
      <w:rPr>
        <w:rFonts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176" w:hanging="360"/>
      </w:pPr>
    </w:lvl>
    <w:lvl w:ilvl="2" w:tplc="0813001B" w:tentative="1">
      <w:start w:val="1"/>
      <w:numFmt w:val="lowerRoman"/>
      <w:lvlText w:val="%3."/>
      <w:lvlJc w:val="right"/>
      <w:pPr>
        <w:ind w:left="1896" w:hanging="180"/>
      </w:pPr>
    </w:lvl>
    <w:lvl w:ilvl="3" w:tplc="0813000F" w:tentative="1">
      <w:start w:val="1"/>
      <w:numFmt w:val="decimal"/>
      <w:lvlText w:val="%4."/>
      <w:lvlJc w:val="left"/>
      <w:pPr>
        <w:ind w:left="2616" w:hanging="360"/>
      </w:pPr>
    </w:lvl>
    <w:lvl w:ilvl="4" w:tplc="08130019" w:tentative="1">
      <w:start w:val="1"/>
      <w:numFmt w:val="lowerLetter"/>
      <w:lvlText w:val="%5."/>
      <w:lvlJc w:val="left"/>
      <w:pPr>
        <w:ind w:left="3336" w:hanging="360"/>
      </w:pPr>
    </w:lvl>
    <w:lvl w:ilvl="5" w:tplc="0813001B" w:tentative="1">
      <w:start w:val="1"/>
      <w:numFmt w:val="lowerRoman"/>
      <w:lvlText w:val="%6."/>
      <w:lvlJc w:val="right"/>
      <w:pPr>
        <w:ind w:left="4056" w:hanging="180"/>
      </w:pPr>
    </w:lvl>
    <w:lvl w:ilvl="6" w:tplc="0813000F" w:tentative="1">
      <w:start w:val="1"/>
      <w:numFmt w:val="decimal"/>
      <w:lvlText w:val="%7."/>
      <w:lvlJc w:val="left"/>
      <w:pPr>
        <w:ind w:left="4776" w:hanging="360"/>
      </w:pPr>
    </w:lvl>
    <w:lvl w:ilvl="7" w:tplc="08130019" w:tentative="1">
      <w:start w:val="1"/>
      <w:numFmt w:val="lowerLetter"/>
      <w:lvlText w:val="%8."/>
      <w:lvlJc w:val="left"/>
      <w:pPr>
        <w:ind w:left="5496" w:hanging="360"/>
      </w:pPr>
    </w:lvl>
    <w:lvl w:ilvl="8" w:tplc="0813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0C"/>
    <w:rsid w:val="00040A58"/>
    <w:rsid w:val="001043EB"/>
    <w:rsid w:val="00134D58"/>
    <w:rsid w:val="00136B9A"/>
    <w:rsid w:val="001D1FB5"/>
    <w:rsid w:val="00213AF7"/>
    <w:rsid w:val="002465D7"/>
    <w:rsid w:val="00287848"/>
    <w:rsid w:val="002B7F55"/>
    <w:rsid w:val="00311C34"/>
    <w:rsid w:val="003751EF"/>
    <w:rsid w:val="00377FB2"/>
    <w:rsid w:val="00417178"/>
    <w:rsid w:val="00450366"/>
    <w:rsid w:val="0045697B"/>
    <w:rsid w:val="004747F9"/>
    <w:rsid w:val="004C2B5E"/>
    <w:rsid w:val="00503856"/>
    <w:rsid w:val="005277CF"/>
    <w:rsid w:val="005333BA"/>
    <w:rsid w:val="005A6334"/>
    <w:rsid w:val="006406EA"/>
    <w:rsid w:val="00660EA9"/>
    <w:rsid w:val="00667013"/>
    <w:rsid w:val="006760E6"/>
    <w:rsid w:val="00766707"/>
    <w:rsid w:val="00796FB8"/>
    <w:rsid w:val="007B17A4"/>
    <w:rsid w:val="007C7D17"/>
    <w:rsid w:val="007D0100"/>
    <w:rsid w:val="007D16EC"/>
    <w:rsid w:val="008630CC"/>
    <w:rsid w:val="008F4ED2"/>
    <w:rsid w:val="00933E53"/>
    <w:rsid w:val="0095133B"/>
    <w:rsid w:val="00A07592"/>
    <w:rsid w:val="00A5390D"/>
    <w:rsid w:val="00AA391D"/>
    <w:rsid w:val="00AD78E7"/>
    <w:rsid w:val="00AD7A6E"/>
    <w:rsid w:val="00B21C8E"/>
    <w:rsid w:val="00B37CC2"/>
    <w:rsid w:val="00B5733A"/>
    <w:rsid w:val="00BA240C"/>
    <w:rsid w:val="00BE0664"/>
    <w:rsid w:val="00BE0B57"/>
    <w:rsid w:val="00C158A4"/>
    <w:rsid w:val="00C604BE"/>
    <w:rsid w:val="00D90F2C"/>
    <w:rsid w:val="00E47B20"/>
    <w:rsid w:val="00E60061"/>
    <w:rsid w:val="00E76F3C"/>
    <w:rsid w:val="00F528EF"/>
    <w:rsid w:val="00F809E2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1A7"/>
  <w15:docId w15:val="{11957AB7-77A6-4650-8843-EB9FBEB1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4577"/>
    <w:pPr>
      <w:widowControl w:val="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Kop1">
    <w:name w:val="heading 1"/>
    <w:basedOn w:val="Standaard"/>
    <w:next w:val="Plattetekst"/>
    <w:link w:val="Kop1Char"/>
    <w:qFormat/>
    <w:rsid w:val="00AD78E7"/>
    <w:pPr>
      <w:keepNext/>
      <w:keepLines/>
      <w:widowControl/>
      <w:spacing w:after="220" w:line="200" w:lineRule="atLeast"/>
      <w:ind w:left="835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Kop2">
    <w:name w:val="heading 2"/>
    <w:basedOn w:val="Standaard"/>
    <w:next w:val="Plattetekst"/>
    <w:link w:val="Kop2Char"/>
    <w:qFormat/>
    <w:rsid w:val="00AD78E7"/>
    <w:pPr>
      <w:keepNext/>
      <w:keepLines/>
      <w:widowControl/>
      <w:spacing w:line="200" w:lineRule="atLeast"/>
      <w:ind w:left="835"/>
      <w:outlineLvl w:val="1"/>
    </w:pPr>
    <w:rPr>
      <w:rFonts w:ascii="Arial Black" w:hAnsi="Arial Black"/>
      <w:spacing w:val="-10"/>
      <w:kern w:val="28"/>
      <w:sz w:val="20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78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235C7F"/>
    <w:rPr>
      <w:rFonts w:ascii="Courier" w:eastAsia="Times New Roman" w:hAnsi="Courier" w:cs="Times New Roman"/>
      <w:sz w:val="24"/>
      <w:szCs w:val="20"/>
      <w:lang w:val="en-US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B34CF4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B34CF4"/>
    <w:rPr>
      <w:rFonts w:ascii="Courier" w:eastAsia="Times New Roman" w:hAnsi="Courier" w:cs="Times New Roman"/>
      <w:sz w:val="20"/>
      <w:szCs w:val="20"/>
      <w:lang w:val="en-US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B34CF4"/>
    <w:rPr>
      <w:rFonts w:ascii="Courier" w:eastAsia="Times New Roman" w:hAnsi="Courier" w:cs="Times New Roman"/>
      <w:b/>
      <w:bCs/>
      <w:sz w:val="20"/>
      <w:szCs w:val="20"/>
      <w:lang w:val="en-US"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B34CF4"/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Kop">
    <w:name w:val="Kop"/>
    <w:basedOn w:val="Standaard"/>
    <w:next w:val="Plattetekst"/>
    <w:qFormat/>
    <w:rsid w:val="007667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766707"/>
    <w:pPr>
      <w:spacing w:after="140" w:line="288" w:lineRule="auto"/>
    </w:pPr>
  </w:style>
  <w:style w:type="paragraph" w:styleId="Lijst">
    <w:name w:val="List"/>
    <w:basedOn w:val="Plattetekst"/>
    <w:rsid w:val="00766707"/>
    <w:rPr>
      <w:rFonts w:cs="Arial"/>
    </w:rPr>
  </w:style>
  <w:style w:type="paragraph" w:styleId="Bijschrift">
    <w:name w:val="caption"/>
    <w:basedOn w:val="Standaard"/>
    <w:qFormat/>
    <w:rsid w:val="0076670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ard"/>
    <w:qFormat/>
    <w:rsid w:val="00766707"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235C7F"/>
    <w:pPr>
      <w:tabs>
        <w:tab w:val="center" w:pos="4536"/>
        <w:tab w:val="right" w:pos="9072"/>
      </w:tabs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B34CF4"/>
    <w:rPr>
      <w:sz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B34C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B34CF4"/>
    <w:rPr>
      <w:rFonts w:ascii="Tahoma" w:hAnsi="Tahoma" w:cs="Tahoma"/>
      <w:sz w:val="16"/>
      <w:szCs w:val="16"/>
    </w:rPr>
  </w:style>
  <w:style w:type="table" w:customStyle="1" w:styleId="LV-tabel">
    <w:name w:val="LV-tabel"/>
    <w:basedOn w:val="Standaardtabel"/>
    <w:uiPriority w:val="99"/>
    <w:qFormat/>
    <w:rsid w:val="00DA00F3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1">
    <w:name w:val="LV-tabel1"/>
    <w:basedOn w:val="Standaardtabel"/>
    <w:uiPriority w:val="99"/>
    <w:qFormat/>
    <w:rsid w:val="007B167E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2">
    <w:name w:val="LV-tabel2"/>
    <w:basedOn w:val="Standaardtabel"/>
    <w:uiPriority w:val="99"/>
    <w:qFormat/>
    <w:rsid w:val="001F225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3">
    <w:name w:val="LV-tabel3"/>
    <w:basedOn w:val="Standaardtabel"/>
    <w:uiPriority w:val="99"/>
    <w:qFormat/>
    <w:rsid w:val="00746CCF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table" w:customStyle="1" w:styleId="LV-tabel4">
    <w:name w:val="LV-tabel4"/>
    <w:basedOn w:val="Standaardtabel"/>
    <w:uiPriority w:val="99"/>
    <w:qFormat/>
    <w:rsid w:val="00C65479"/>
    <w:pPr>
      <w:jc w:val="right"/>
    </w:pPr>
    <w:rPr>
      <w:color w:val="3C3C3C"/>
      <w:sz w:val="14"/>
      <w:szCs w:val="20"/>
      <w:lang w:eastAsia="nl-BE"/>
    </w:rPr>
    <w:tblPr>
      <w:tblStyleRowBandSize w:val="1"/>
      <w:tblBorders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jc w:val="center"/>
      </w:pPr>
      <w:rPr>
        <w:b/>
        <w:i w:val="0"/>
        <w:color w:val="FFFFFF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787"/>
      </w:tcPr>
    </w:tblStylePr>
    <w:tblStylePr w:type="la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D9D"/>
      </w:tcPr>
    </w:tblStylePr>
    <w:tblStylePr w:type="firstCol">
      <w:pPr>
        <w:wordWrap/>
        <w:jc w:val="left"/>
      </w:pPr>
      <w:tblPr/>
      <w:tcPr>
        <w:shd w:val="clear" w:color="auto" w:fill="F4EED8"/>
      </w:tcPr>
    </w:tblStylePr>
    <w:tblStylePr w:type="band1Horz">
      <w:rPr>
        <w:color w:val="58595B"/>
      </w:rPr>
    </w:tblStylePr>
    <w:tblStylePr w:type="band2Horz">
      <w:rPr>
        <w:color w:val="58595B"/>
      </w:rPr>
    </w:tblStylePr>
  </w:style>
  <w:style w:type="character" w:customStyle="1" w:styleId="Kop1Char">
    <w:name w:val="Kop 1 Char"/>
    <w:basedOn w:val="Standaardalinea-lettertype"/>
    <w:link w:val="Kop1"/>
    <w:rsid w:val="00AD78E7"/>
    <w:rPr>
      <w:rFonts w:ascii="Arial Black" w:eastAsia="Times New Roman" w:hAnsi="Arial Black" w:cs="Times New Roman"/>
      <w:spacing w:val="-10"/>
      <w:kern w:val="28"/>
      <w:sz w:val="22"/>
      <w:szCs w:val="20"/>
      <w:lang w:val="en-US"/>
    </w:rPr>
  </w:style>
  <w:style w:type="character" w:customStyle="1" w:styleId="Kop2Char">
    <w:name w:val="Kop 2 Char"/>
    <w:basedOn w:val="Standaardalinea-lettertype"/>
    <w:link w:val="Kop2"/>
    <w:rsid w:val="00AD78E7"/>
    <w:rPr>
      <w:rFonts w:ascii="Arial Black" w:eastAsia="Times New Roman" w:hAnsi="Arial Black" w:cs="Times New Roman"/>
      <w:spacing w:val="-10"/>
      <w:kern w:val="28"/>
      <w:szCs w:val="20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78E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nl-NL"/>
    </w:rPr>
  </w:style>
  <w:style w:type="character" w:styleId="Hyperlink">
    <w:name w:val="Hyperlink"/>
    <w:basedOn w:val="Standaardalinea-lettertype"/>
    <w:semiHidden/>
    <w:rsid w:val="00AD78E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E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9F5B7-CA09-43EA-B1F0-09979418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1133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jpannecoucque</dc:creator>
  <dc:description/>
  <cp:lastModifiedBy>Laura Rogge</cp:lastModifiedBy>
  <cp:revision>7</cp:revision>
  <cp:lastPrinted>2018-01-17T16:16:00Z</cp:lastPrinted>
  <dcterms:created xsi:type="dcterms:W3CDTF">2021-12-20T09:59:00Z</dcterms:created>
  <dcterms:modified xsi:type="dcterms:W3CDTF">2022-01-13T08:25:00Z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